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62" w:rsidRDefault="00467F78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A0062" w:rsidRDefault="005A0062">
      <w:pPr>
        <w:pStyle w:val="Corpodetexto"/>
        <w:rPr>
          <w:rFonts w:ascii="Times New Roman"/>
          <w:b w:val="0"/>
        </w:rPr>
      </w:pPr>
    </w:p>
    <w:p w:rsidR="005A0062" w:rsidRDefault="00467F78">
      <w:pPr>
        <w:pStyle w:val="Corpodetexto"/>
        <w:rPr>
          <w:rFonts w:ascii="Times New Roman"/>
          <w:b w:val="0"/>
          <w:sz w:val="17"/>
        </w:rPr>
      </w:pPr>
      <w:r>
        <w:pict>
          <v:shape id="_x0000_s1028" type="#_x0000_t202" style="position:absolute;margin-left:34.9pt;margin-top:12pt;width:546.3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26" type="#_x0000_t202" style="position:absolute;margin-left:35.25pt;margin-top:318.15pt;width:547.8pt;height:279.85pt;z-index:-15727104;mso-wrap-distance-left:0;mso-wrap-distance-right:0;mso-position-horizontal-relative:page" filled="f" strokeweight=".48pt">
            <v:textbox style="mso-next-textbox:#_x0000_s1026" inset="0,0,0,0">
              <w:txbxContent>
                <w:p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5A0062" w:rsidRDefault="00FA45A6">
                  <w:pPr>
                    <w:spacing w:line="360" w:lineRule="auto"/>
                    <w:ind w:left="141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A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CONTRATADA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deverá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apresentar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Certidão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Acervo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Técnico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(CAT)</w:t>
                  </w:r>
                  <w:r>
                    <w:rPr>
                      <w:rFonts w:ascii="Arial MT" w:hAnsi="Arial MT"/>
                      <w:spacing w:val="9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ter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realizado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os</w:t>
                  </w:r>
                  <w:r>
                    <w:rPr>
                      <w:rFonts w:ascii="Arial MT" w:hAnsi="Arial MT"/>
                      <w:spacing w:val="4"/>
                    </w:rPr>
                    <w:t xml:space="preserve"> </w:t>
                  </w:r>
                  <w:r w:rsidR="00482210">
                    <w:rPr>
                      <w:rFonts w:ascii="Arial MT" w:hAnsi="Arial MT"/>
                    </w:rPr>
                    <w:t>serviços de</w:t>
                  </w:r>
                  <w:r>
                    <w:rPr>
                      <w:rFonts w:ascii="Arial MT" w:hAnsi="Arial MT"/>
                    </w:rPr>
                    <w:t>:</w:t>
                  </w:r>
                </w:p>
                <w:p w:rsidR="002C539C" w:rsidRPr="002C539C" w:rsidRDefault="002C539C" w:rsidP="002C539C">
                  <w:pPr>
                    <w:pStyle w:val="textojustificado"/>
                    <w:spacing w:before="120" w:beforeAutospacing="0" w:after="120" w:afterAutospacing="0"/>
                    <w:ind w:left="567" w:right="120"/>
                    <w:jc w:val="both"/>
                    <w:rPr>
                      <w:rFonts w:ascii="Arial" w:hAnsi="Arial" w:cs="Arial"/>
                      <w:b/>
                      <w:color w:val="000000"/>
                    </w:rPr>
                  </w:pPr>
                  <w:bookmarkStart w:id="0" w:name="_GoBack"/>
                  <w:r w:rsidRPr="002C539C">
                    <w:rPr>
                      <w:rFonts w:ascii="Arial" w:hAnsi="Arial" w:cs="Arial"/>
                      <w:b/>
                      <w:color w:val="000000"/>
                    </w:rPr>
                    <w:t xml:space="preserve">- </w:t>
                  </w:r>
                  <w:r w:rsidRPr="002C539C">
                    <w:rPr>
                      <w:rFonts w:ascii="Arial" w:hAnsi="Arial" w:cs="Arial"/>
                      <w:b/>
                      <w:color w:val="000000"/>
                    </w:rPr>
                    <w:t xml:space="preserve">Montagem de Estrutura Metálica, 37.175,00 </w:t>
                  </w:r>
                  <w:proofErr w:type="gramStart"/>
                  <w:r w:rsidRPr="002C539C">
                    <w:rPr>
                      <w:rFonts w:ascii="Arial" w:hAnsi="Arial" w:cs="Arial"/>
                      <w:b/>
                      <w:color w:val="000000"/>
                    </w:rPr>
                    <w:t>kg</w:t>
                  </w:r>
                  <w:proofErr w:type="gramEnd"/>
                </w:p>
                <w:p w:rsidR="002C539C" w:rsidRPr="002C539C" w:rsidRDefault="002C539C" w:rsidP="002C539C">
                  <w:pPr>
                    <w:pStyle w:val="textojustificado"/>
                    <w:spacing w:before="120" w:beforeAutospacing="0" w:after="120" w:afterAutospacing="0"/>
                    <w:ind w:left="567" w:right="120"/>
                    <w:jc w:val="both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2C539C">
                    <w:rPr>
                      <w:rFonts w:ascii="Arial" w:hAnsi="Arial" w:cs="Arial"/>
                      <w:b/>
                      <w:color w:val="000000"/>
                    </w:rPr>
                    <w:t xml:space="preserve">- </w:t>
                  </w:r>
                  <w:r w:rsidRPr="002C539C">
                    <w:rPr>
                      <w:rFonts w:ascii="Arial" w:hAnsi="Arial" w:cs="Arial"/>
                      <w:b/>
                      <w:color w:val="000000"/>
                    </w:rPr>
                    <w:t>Reforma de edificação com características semelhantes e áreas compatíveis com o objeto da licitação.</w:t>
                  </w:r>
                </w:p>
                <w:bookmarkEnd w:id="0"/>
                <w:p w:rsidR="00482210" w:rsidRPr="00482210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b/>
                      <w:i/>
                      <w:lang w:val="pt-BR"/>
                    </w:rPr>
                  </w:pPr>
                </w:p>
                <w:p w:rsidR="005A0062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i/>
                    </w:rPr>
                  </w:pPr>
                  <w:r w:rsidRPr="00482210">
                    <w:rPr>
                      <w:b/>
                      <w:i/>
                    </w:rPr>
                    <w:t xml:space="preserve"> </w:t>
                  </w:r>
                  <w:r w:rsidR="00FA45A6">
                    <w:rPr>
                      <w:i/>
                    </w:rPr>
                    <w:t>As quantidades acima se constituem limites mínimos, correspondentes a 50% dos quantitativos</w:t>
                  </w:r>
                  <w:r w:rsidR="00FA45A6">
                    <w:rPr>
                      <w:i/>
                      <w:spacing w:val="1"/>
                    </w:rPr>
                    <w:t xml:space="preserve"> </w:t>
                  </w:r>
                  <w:r w:rsidR="00FA45A6">
                    <w:rPr>
                      <w:i/>
                    </w:rPr>
                    <w:t xml:space="preserve">dos itensde maior relevância </w:t>
                  </w:r>
                  <w:proofErr w:type="gramStart"/>
                  <w:r w:rsidR="00FA45A6">
                    <w:rPr>
                      <w:i/>
                    </w:rPr>
                    <w:t>técnica ou economicamente relevantes, em conformidade com o</w:t>
                  </w:r>
                  <w:r w:rsidR="00FA45A6">
                    <w:rPr>
                      <w:i/>
                      <w:spacing w:val="1"/>
                    </w:rPr>
                    <w:t xml:space="preserve"> </w:t>
                  </w:r>
                  <w:r w:rsidR="00FA45A6">
                    <w:rPr>
                      <w:i/>
                    </w:rPr>
                    <w:t>previsto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no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Item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II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do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Art.58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da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Lei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13.303/2016</w:t>
                  </w:r>
                  <w:r w:rsidR="00FA45A6">
                    <w:rPr>
                      <w:i/>
                      <w:spacing w:val="13"/>
                    </w:rPr>
                    <w:t xml:space="preserve"> </w:t>
                  </w:r>
                  <w:r w:rsidR="00FA45A6">
                    <w:rPr>
                      <w:i/>
                    </w:rPr>
                    <w:t>e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em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alinhamento</w:t>
                  </w:r>
                  <w:proofErr w:type="gramEnd"/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com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Acórdão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1771/2007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do</w:t>
                  </w:r>
                </w:p>
                <w:p w:rsidR="005A0062" w:rsidRDefault="00FA45A6">
                  <w:pPr>
                    <w:spacing w:before="1"/>
                    <w:ind w:left="282"/>
                    <w:rPr>
                      <w:i/>
                    </w:rPr>
                  </w:pPr>
                  <w:r>
                    <w:rPr>
                      <w:i/>
                    </w:rPr>
                    <w:t>TCU.</w:t>
                  </w:r>
                </w:p>
              </w:txbxContent>
            </v:textbox>
            <w10:wrap type="topAndBottom" anchorx="page"/>
          </v:shape>
        </w:pict>
      </w:r>
    </w:p>
    <w:p w:rsidR="005A0062" w:rsidRDefault="00467F78">
      <w:pPr>
        <w:pStyle w:val="Corpodetexto"/>
        <w:spacing w:before="5"/>
        <w:rPr>
          <w:rFonts w:ascii="Times New Roman"/>
          <w:b w:val="0"/>
          <w:sz w:val="10"/>
        </w:rPr>
      </w:pPr>
      <w:r>
        <w:pict>
          <v:shape id="_x0000_s1027" type="#_x0000_t202" style="position:absolute;margin-left:35.1pt;margin-top:69.3pt;width:547.05pt;height:226.85pt;z-index:-15727616;mso-wrap-distance-left:0;mso-wrap-distance-right:0;mso-position-horizontal-relative:page" filled="f" strokeweight=".48pt">
            <v:textbox style="mso-next-textbox:#_x0000_s1027" inset="0,0,0,0">
              <w:txbxContent>
                <w:p w:rsidR="005A0062" w:rsidRDefault="005A0062">
                  <w:pPr>
                    <w:pStyle w:val="Corpodetexto"/>
                    <w:spacing w:before="3"/>
                    <w:rPr>
                      <w:rFonts w:ascii="Times New Roman"/>
                      <w:b w:val="0"/>
                      <w:sz w:val="31"/>
                    </w:rPr>
                  </w:pPr>
                </w:p>
                <w:p w:rsidR="005A0062" w:rsidRDefault="00FA45A6">
                  <w:pPr>
                    <w:pStyle w:val="Corpodetexto"/>
                    <w:spacing w:line="360" w:lineRule="auto"/>
                    <w:ind w:left="28" w:right="151"/>
                  </w:pPr>
                  <w:r>
                    <w:t xml:space="preserve">Imóvel: </w:t>
                  </w:r>
                  <w:r w:rsidR="002C539C">
                    <w:t>C.E. Maurício Medeiros de Alvarenga</w:t>
                  </w:r>
                </w:p>
                <w:p w:rsidR="00CC6E92" w:rsidRDefault="00FA45A6" w:rsidP="00921623">
                  <w:pPr>
                    <w:pStyle w:val="Corpodetexto"/>
                    <w:tabs>
                      <w:tab w:val="left" w:pos="5954"/>
                      <w:tab w:val="left" w:pos="8080"/>
                    </w:tabs>
                    <w:spacing w:before="1" w:line="357" w:lineRule="auto"/>
                    <w:ind w:left="28" w:right="2713"/>
                    <w:rPr>
                      <w:bCs w:val="0"/>
                    </w:rPr>
                  </w:pPr>
                  <w:r>
                    <w:t xml:space="preserve">Endereço: </w:t>
                  </w:r>
                  <w:r w:rsidR="00921623" w:rsidRPr="001254E1">
                    <w:rPr>
                      <w:rStyle w:val="Forte"/>
                      <w:rFonts w:ascii="Arial MT" w:hAnsi="Arial MT"/>
                      <w:b/>
                      <w:bCs/>
                      <w:color w:val="000000"/>
                    </w:rPr>
                    <w:t xml:space="preserve">RUA </w:t>
                  </w:r>
                  <w:r w:rsidR="002C539C">
                    <w:rPr>
                      <w:rStyle w:val="Forte"/>
                      <w:rFonts w:ascii="Arial MT" w:hAnsi="Arial MT"/>
                      <w:b/>
                      <w:bCs/>
                      <w:color w:val="000000"/>
                    </w:rPr>
                    <w:t>Imã Faustina - Village</w:t>
                  </w:r>
                </w:p>
                <w:p w:rsidR="005A0062" w:rsidRDefault="00FA45A6">
                  <w:pPr>
                    <w:pStyle w:val="Corpodetexto"/>
                    <w:spacing w:before="1" w:line="357" w:lineRule="auto"/>
                    <w:ind w:left="28" w:right="5334"/>
                  </w:pPr>
                  <w:r>
                    <w:t>Município:</w:t>
                  </w:r>
                  <w:r>
                    <w:rPr>
                      <w:spacing w:val="1"/>
                    </w:rPr>
                    <w:t xml:space="preserve"> </w:t>
                  </w:r>
                  <w:r w:rsidR="00CC6E92">
                    <w:t xml:space="preserve">Rio </w:t>
                  </w:r>
                  <w:r w:rsidR="002C539C">
                    <w:t>das Ostras</w:t>
                  </w:r>
                </w:p>
                <w:p w:rsidR="005A0062" w:rsidRPr="002C539C" w:rsidRDefault="005A0062">
                  <w:pPr>
                    <w:pStyle w:val="Corpodetexto"/>
                    <w:spacing w:before="4"/>
                    <w:rPr>
                      <w:sz w:val="30"/>
                      <w:lang w:val="pt-BR"/>
                    </w:rPr>
                  </w:pPr>
                </w:p>
                <w:p w:rsidR="005A0062" w:rsidRPr="00692B9C" w:rsidRDefault="00FA45A6">
                  <w:pPr>
                    <w:pStyle w:val="Corpodetexto"/>
                    <w:spacing w:line="360" w:lineRule="auto"/>
                    <w:ind w:left="28" w:right="28"/>
                    <w:jc w:val="both"/>
                  </w:pPr>
                  <w:r>
                    <w:t>Objeto:</w:t>
                  </w:r>
                  <w:r>
                    <w:rPr>
                      <w:spacing w:val="1"/>
                    </w:rPr>
                    <w:t xml:space="preserve"> </w:t>
                  </w:r>
                  <w:r w:rsidR="002C539C">
                    <w:rPr>
                      <w:bCs w:val="0"/>
                    </w:rPr>
                    <w:t>CONTRATAÇÃO DE EMPRESA ESÉCIALIZADA NO RAMO DE ENGENHARIA, PARA EXECUÇÃO DE CONCLUSÃO DAS OBRAS DE REFORMA E CONSTRUÇÃO DA UNIDADE ESCOLAR C.E. MAURÍCIO MEDEIROS DE ALVARENGA, EM RIO DAS OSTRAS, LOCALIZADO NA RUA IRMÃ FAUSTINA COM ESTRADA DO CONTORNO – VILLAGE – RIO DAS OSTRAS, RIO DE JANEIRO, EM CONFORMIDADE COM AS ESPECIFICAÇÕES DO PROJETO BÁSICO, DO EDITAL E SEUS ANEXOS.</w:t>
                  </w:r>
                </w:p>
              </w:txbxContent>
            </v:textbox>
            <w10:wrap type="topAndBottom" anchorx="page"/>
          </v:shape>
        </w:pict>
      </w:r>
    </w:p>
    <w:p w:rsidR="005A0062" w:rsidRDefault="005A0062">
      <w:pPr>
        <w:pStyle w:val="Corpodetexto"/>
        <w:spacing w:before="7"/>
        <w:rPr>
          <w:rFonts w:ascii="Times New Roman"/>
          <w:b w:val="0"/>
          <w:sz w:val="14"/>
        </w:rPr>
      </w:pPr>
    </w:p>
    <w:sectPr w:rsidR="005A0062">
      <w:type w:val="continuous"/>
      <w:pgSz w:w="12250" w:h="15850"/>
      <w:pgMar w:top="1080" w:right="48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A0062"/>
    <w:rsid w:val="001254E1"/>
    <w:rsid w:val="002C539C"/>
    <w:rsid w:val="00467F78"/>
    <w:rsid w:val="00482210"/>
    <w:rsid w:val="005A0062"/>
    <w:rsid w:val="00692B9C"/>
    <w:rsid w:val="00921623"/>
    <w:rsid w:val="00CC6E92"/>
    <w:rsid w:val="00EA1810"/>
    <w:rsid w:val="00EC41B5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customStyle="1" w:styleId="textojustificado">
    <w:name w:val="texto_justificado"/>
    <w:basedOn w:val="Normal"/>
    <w:rsid w:val="002C539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customStyle="1" w:styleId="textojustificado">
    <w:name w:val="texto_justificado"/>
    <w:basedOn w:val="Normal"/>
    <w:rsid w:val="002C539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Ericka Silva Monteiro</cp:lastModifiedBy>
  <cp:revision>2</cp:revision>
  <dcterms:created xsi:type="dcterms:W3CDTF">2021-12-27T16:34:00Z</dcterms:created>
  <dcterms:modified xsi:type="dcterms:W3CDTF">2021-12-27T16:34:00Z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