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325"/>
        <w:gridCol w:w="1272"/>
        <w:gridCol w:w="1273"/>
        <w:gridCol w:w="1273"/>
        <w:gridCol w:w="1273"/>
        <w:gridCol w:w="1274"/>
        <w:gridCol w:w="1274"/>
        <w:gridCol w:w="1274"/>
        <w:gridCol w:w="1281"/>
        <w:gridCol w:w="1221"/>
        <w:gridCol w:w="1269"/>
      </w:tblGrid>
      <w:tr>
        <w:trPr>
          <w:trHeight w:val="320" w:hRule="atLeast"/>
        </w:trPr>
        <w:tc>
          <w:tcPr>
            <w:tcW w:w="127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16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ANEXO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16279" w:type="dxa"/>
            <w:gridSpan w:val="1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ind w:left="-1" w:right="5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CRONOGRAMA</w:t>
            </w:r>
            <w:r>
              <w:rPr>
                <w:rFonts w:ascii="Calibri"/>
                <w:b/>
                <w:spacing w:val="32"/>
                <w:sz w:val="17"/>
              </w:rPr>
              <w:t> </w:t>
            </w:r>
            <w:r>
              <w:rPr>
                <w:rFonts w:ascii="Calibri"/>
                <w:b/>
                <w:sz w:val="17"/>
              </w:rPr>
              <w:t>FISICO-FINANCEIRO</w:t>
            </w:r>
            <w:r>
              <w:rPr>
                <w:rFonts w:ascii="Calibri"/>
                <w:b/>
                <w:spacing w:val="32"/>
                <w:sz w:val="17"/>
              </w:rPr>
              <w:t> </w:t>
            </w:r>
            <w:r>
              <w:rPr>
                <w:rFonts w:ascii="Calibri"/>
                <w:b/>
                <w:spacing w:val="-2"/>
                <w:sz w:val="17"/>
              </w:rPr>
              <w:t>(PLENO)</w:t>
            </w:r>
          </w:p>
        </w:tc>
      </w:tr>
      <w:tr>
        <w:trPr>
          <w:trHeight w:val="195" w:hRule="atLeast"/>
        </w:trPr>
        <w:tc>
          <w:tcPr>
            <w:tcW w:w="127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9" w:right="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4"/>
                <w:w w:val="105"/>
                <w:sz w:val="10"/>
              </w:rPr>
              <w:t>ÍTEM</w:t>
            </w:r>
          </w:p>
        </w:tc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DESCRIÇÃO</w:t>
            </w:r>
            <w:r>
              <w:rPr>
                <w:rFonts w:ascii="Arial" w:hAnsi="Arial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DOS</w:t>
            </w:r>
            <w:r>
              <w:rPr>
                <w:rFonts w:ascii="Arial" w:hAnsi="Arial"/>
                <w:b/>
                <w:spacing w:val="4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SERVIÇOS</w:t>
            </w:r>
          </w:p>
        </w:tc>
        <w:tc>
          <w:tcPr>
            <w:tcW w:w="10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25" w:right="5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PERÍODO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VALOR</w:t>
            </w:r>
            <w:r>
              <w:rPr>
                <w:rFonts w:ascii="Arial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>(R$)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% POR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>ITEM</w:t>
            </w:r>
          </w:p>
        </w:tc>
      </w:tr>
      <w:tr>
        <w:trPr>
          <w:trHeight w:val="154" w:hRule="atLeast"/>
        </w:trPr>
        <w:tc>
          <w:tcPr>
            <w:tcW w:w="127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5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5"/>
                <w:w w:val="105"/>
                <w:sz w:val="10"/>
              </w:rPr>
              <w:t>MÊS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270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8" w:right="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8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3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3" w:right="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95" w:lineRule="exact" w:before="29"/>
              <w:ind w:left="31"/>
              <w:rPr>
                <w:sz w:val="10"/>
              </w:rPr>
            </w:pPr>
            <w:r>
              <w:rPr>
                <w:sz w:val="10"/>
              </w:rPr>
              <w:t>SERVIÇOS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ESCRITÓRIO,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LABORATÓRIO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10"/>
                <w:sz w:val="10"/>
              </w:rPr>
              <w:t>E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5,19%</w:t>
            </w:r>
          </w:p>
        </w:tc>
      </w:tr>
      <w:tr>
        <w:trPr>
          <w:trHeight w:val="147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106" w:lineRule="exact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CAMPO</w:t>
            </w: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0,63%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0,66%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5,19%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CANTEIRO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OBRA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1,96%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1,51%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1,96%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7" w:lineRule="exact"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MOVIMENTO DE</w:t>
            </w:r>
            <w:r>
              <w:rPr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TERRA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FUNDAÇÕES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0,29%</w:t>
            </w:r>
          </w:p>
        </w:tc>
      </w:tr>
      <w:tr>
        <w:trPr>
          <w:trHeight w:val="148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0,15%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0,15%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0,29%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TRANSPORTES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2,35%</w:t>
            </w:r>
          </w:p>
        </w:tc>
      </w:tr>
      <w:tr>
        <w:trPr>
          <w:trHeight w:val="148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0,44%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2,35%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7" w:lineRule="exact" w:before="97"/>
              <w:ind w:left="31"/>
              <w:rPr>
                <w:sz w:val="10"/>
              </w:rPr>
            </w:pPr>
            <w:r>
              <w:rPr>
                <w:sz w:val="10"/>
              </w:rPr>
              <w:t>SERVIÇOS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COMPLEMENTARES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6,28%</w:t>
            </w:r>
          </w:p>
        </w:tc>
      </w:tr>
      <w:tr>
        <w:trPr>
          <w:trHeight w:val="148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0,84%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0,61%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0,27%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0,23%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0,23%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6,28%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06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z w:val="10"/>
              </w:rPr>
              <w:t>SERVIÇOS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COMPLEMENTARES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(BDI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13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5"/>
                <w:sz w:val="10"/>
              </w:rPr>
              <w:t>%)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3,15%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0CECE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0,39%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3,15%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07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95" w:lineRule="exact" w:before="29"/>
              <w:ind w:left="31"/>
              <w:rPr>
                <w:sz w:val="10"/>
              </w:rPr>
            </w:pPr>
            <w:r>
              <w:rPr>
                <w:sz w:val="10"/>
              </w:rPr>
              <w:t>SERVIÇOS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COMPLEMENTARES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(MÃO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5"/>
                <w:sz w:val="10"/>
              </w:rPr>
              <w:t>DE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14,30%</w:t>
            </w:r>
          </w:p>
        </w:tc>
      </w:tr>
      <w:tr>
        <w:trPr>
          <w:trHeight w:val="148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106" w:lineRule="exact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OBRA)</w:t>
            </w: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1,71%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14,30%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z w:val="10"/>
              </w:rPr>
              <w:t>GALERIAS,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DRENAGEM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CONEXÕES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0,74%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0,74%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1,48%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09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7" w:lineRule="exact"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BASES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PAVIMENTOS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10,23%</w:t>
            </w:r>
          </w:p>
        </w:tc>
      </w:tr>
      <w:tr>
        <w:trPr>
          <w:trHeight w:val="148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2,36%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5,33%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0,53%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0,42%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10,23%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ESTRUTURAS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35,63%</w:t>
            </w:r>
          </w:p>
        </w:tc>
      </w:tr>
      <w:tr>
        <w:trPr>
          <w:trHeight w:val="148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3,31%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8,07%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10,17%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4,28%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2,35%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35,63%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tcBorders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31" w:lineRule="exact"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2325" w:type="dxa"/>
            <w:tcBorders>
              <w:left w:val="dashed" w:sz="8" w:space="0" w:color="000000"/>
              <w:bottom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7" w:lineRule="exact" w:before="97"/>
              <w:ind w:left="31"/>
              <w:rPr>
                <w:sz w:val="10"/>
              </w:rPr>
            </w:pPr>
            <w:r>
              <w:rPr>
                <w:sz w:val="10"/>
              </w:rPr>
              <w:t>ALVENARIAS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DIVISÓRIAS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4,36%</w:t>
            </w:r>
          </w:p>
        </w:tc>
      </w:tr>
      <w:tr>
        <w:trPr>
          <w:trHeight w:val="148" w:hRule="atLeast"/>
        </w:trPr>
        <w:tc>
          <w:tcPr>
            <w:tcW w:w="1270" w:type="dxa"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25" w:type="dxa"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1,09%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4,36%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12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line="283" w:lineRule="auto" w:before="29"/>
              <w:ind w:left="31" w:righ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REVESTIMENTO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PAREDES,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TETOS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PISOS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0,13%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0,13%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83" w:lineRule="auto" w:before="29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ESQUADRIAS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PVC,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FERRO,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ALUMÍNIO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OU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MADEIRA, VIDRAÇAS E FERRAGENS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5,08%</w:t>
            </w:r>
          </w:p>
        </w:tc>
      </w:tr>
      <w:tr>
        <w:trPr>
          <w:trHeight w:val="148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2,54%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2,54%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5,08%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14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line="283" w:lineRule="auto" w:before="29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INSTALAÇÕES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ELÉTRICAS,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HIDRÁULICAS,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SANITÁRIAS E MECÂNICAS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2,39%</w:t>
            </w:r>
          </w:p>
        </w:tc>
      </w:tr>
      <w:tr>
        <w:trPr>
          <w:trHeight w:val="148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2,39%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line="283" w:lineRule="auto" w:before="29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COBERTURAS,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ISOLAMENTOS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IMPERMEABILIZAÇÕES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5,32%</w:t>
            </w:r>
          </w:p>
        </w:tc>
      </w:tr>
      <w:tr>
        <w:trPr>
          <w:trHeight w:val="148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2,66%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2,66%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5,32%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dashed" w:sz="8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17</w:t>
            </w:r>
          </w:p>
        </w:tc>
        <w:tc>
          <w:tcPr>
            <w:tcW w:w="2325" w:type="dxa"/>
            <w:vMerge w:val="restart"/>
            <w:tcBorders>
              <w:left w:val="dashed" w:sz="8" w:space="0" w:color="000000"/>
              <w:right w:val="dashed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ALUGUEL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EQUIPAMENTOS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dashed" w:sz="8" w:space="0" w:color="000000"/>
              <w:righ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0,17%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1,40%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270" w:type="dxa"/>
            <w:vMerge w:val="restart"/>
            <w:tcBorders>
              <w:right w:val="single" w:sz="8" w:space="0" w:color="000000"/>
            </w:tcBorders>
            <w:shd w:val="clear" w:color="auto" w:fill="DDEBF7"/>
          </w:tcPr>
          <w:p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w w:val="105"/>
                <w:sz w:val="10"/>
              </w:rPr>
              <w:t>18</w:t>
            </w:r>
          </w:p>
        </w:tc>
        <w:tc>
          <w:tcPr>
            <w:tcW w:w="2325" w:type="dxa"/>
            <w:vMerge w:val="restart"/>
            <w:tcBorders>
              <w:left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pStyle w:val="TableParagraph"/>
              <w:spacing w:before="97"/>
              <w:ind w:left="31"/>
              <w:rPr>
                <w:sz w:val="10"/>
              </w:rPr>
            </w:pPr>
            <w:r>
              <w:rPr>
                <w:sz w:val="10"/>
              </w:rPr>
              <w:t>ESTRUTURAS</w:t>
            </w:r>
            <w:r>
              <w:rPr>
                <w:spacing w:val="19"/>
                <w:sz w:val="10"/>
              </w:rPr>
              <w:t> </w:t>
            </w:r>
            <w:r>
              <w:rPr>
                <w:spacing w:val="-2"/>
                <w:sz w:val="10"/>
              </w:rPr>
              <w:t>ESPECIAIS</w:t>
            </w:r>
          </w:p>
        </w:tc>
        <w:tc>
          <w:tcPr>
            <w:tcW w:w="1272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  <w:tcBorders>
              <w:left w:val="dashed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FFE69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dashed" w:sz="8" w:space="0" w:color="000000"/>
            </w:tcBorders>
          </w:tcPr>
          <w:p>
            <w:pPr>
              <w:pStyle w:val="TableParagraph"/>
              <w:spacing w:before="97"/>
              <w:ind w:lef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0,47%</w:t>
            </w:r>
          </w:p>
        </w:tc>
      </w:tr>
      <w:tr>
        <w:trPr>
          <w:trHeight w:val="147" w:hRule="atLeast"/>
        </w:trPr>
        <w:tc>
          <w:tcPr>
            <w:tcW w:w="1270" w:type="dxa"/>
            <w:vMerge/>
            <w:tcBorders>
              <w:top w:val="nil"/>
              <w:right w:val="single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single" w:sz="8" w:space="0" w:color="000000"/>
              <w:right w:val="dashed" w:sz="8" w:space="0" w:color="000000"/>
            </w:tcBorders>
            <w:shd w:val="clear" w:color="auto" w:fill="DDEB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0,12%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0,12%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0,12%</w:t>
            </w:r>
          </w:p>
        </w:tc>
        <w:tc>
          <w:tcPr>
            <w:tcW w:w="1273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0,10%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74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8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0,00%</w:t>
            </w:r>
          </w:p>
        </w:tc>
        <w:tc>
          <w:tcPr>
            <w:tcW w:w="1221" w:type="dxa"/>
            <w:tcBorders>
              <w:top w:val="single" w:sz="8" w:space="0" w:color="000000"/>
              <w:left w:val="dashed" w:sz="8" w:space="0" w:color="000000"/>
              <w:right w:val="dashed" w:sz="8" w:space="0" w:color="000000"/>
            </w:tcBorders>
            <w:shd w:val="clear" w:color="auto" w:fill="D9D9D9"/>
          </w:tcPr>
          <w:p>
            <w:pPr>
              <w:pStyle w:val="TableParagraph"/>
              <w:spacing w:line="105" w:lineRule="exact" w:before="2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0,47%</w:t>
            </w:r>
          </w:p>
        </w:tc>
        <w:tc>
          <w:tcPr>
            <w:tcW w:w="1269" w:type="dxa"/>
            <w:vMerge/>
            <w:tcBorders>
              <w:top w:val="nil"/>
              <w:left w:val="dashed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359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SUB-TOTAL</w:t>
            </w:r>
            <w:r>
              <w:rPr>
                <w:rFonts w:ascii="Arial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PARA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BDI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18</w:t>
            </w:r>
            <w:r>
              <w:rPr>
                <w:rFonts w:ascii="Arial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0"/>
              </w:rPr>
              <w:t>%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3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9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SUB-TOTAL</w:t>
            </w:r>
            <w:r>
              <w:rPr>
                <w:rFonts w:ascii="Arial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PARA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BDI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13</w:t>
            </w:r>
            <w:r>
              <w:rPr>
                <w:rFonts w:ascii="Arial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0"/>
              </w:rPr>
              <w:t>%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3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7" w:right="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BDI</w:t>
            </w:r>
            <w:r>
              <w:rPr>
                <w:rFonts w:ascii="Arial"/>
                <w:b/>
                <w:spacing w:val="54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18%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100,00%</w:t>
            </w:r>
          </w:p>
        </w:tc>
      </w:tr>
      <w:tr>
        <w:trPr>
          <w:trHeight w:val="190" w:hRule="atLeast"/>
        </w:trPr>
        <w:tc>
          <w:tcPr>
            <w:tcW w:w="3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7" w:right="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BDI</w:t>
            </w:r>
            <w:r>
              <w:rPr>
                <w:rFonts w:ascii="Arial"/>
                <w:b/>
                <w:spacing w:val="54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13%</w:t>
            </w:r>
          </w:p>
        </w:tc>
        <w:tc>
          <w:tcPr>
            <w:tcW w:w="12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4" w:right="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%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</w:tr>
      <w:tr>
        <w:trPr>
          <w:trHeight w:val="187" w:hRule="atLeast"/>
        </w:trPr>
        <w:tc>
          <w:tcPr>
            <w:tcW w:w="3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56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PORCENTACEM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MENSAL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EXECUÇÃO</w:t>
            </w:r>
          </w:p>
        </w:tc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12,81%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8" w:right="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16,35%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8" w:right="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20,94%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8" w:right="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13,09%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3" w:right="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9,05%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3" w:right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9,68%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33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10,70%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14" w:right="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7,37%</w:t>
            </w:r>
          </w:p>
        </w:tc>
        <w:tc>
          <w:tcPr>
            <w:tcW w:w="12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100,00%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5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95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DAS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MEDIÇÕES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MENSAIS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59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2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ACUMULADO</w:t>
            </w:r>
          </w:p>
        </w:tc>
        <w:tc>
          <w:tcPr>
            <w:tcW w:w="1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C5DF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1270" w:type="dxa"/>
            <w:tcBorders>
              <w:right w:val="nil"/>
            </w:tcBorders>
          </w:tcPr>
          <w:p>
            <w:pPr>
              <w:pStyle w:val="TableParagraph"/>
              <w:spacing w:line="155" w:lineRule="exact" w:before="17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4"/>
                <w:sz w:val="13"/>
              </w:rPr>
              <w:t>8,00</w:t>
            </w:r>
          </w:p>
        </w:tc>
        <w:tc>
          <w:tcPr>
            <w:tcW w:w="23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5" w:lineRule="exact" w:before="17"/>
              <w:ind w:left="47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MESES</w:t>
            </w:r>
            <w:r>
              <w:rPr>
                <w:rFonts w:ascii="Calibri" w:hAnsi="Calibri"/>
                <w:b/>
                <w:spacing w:val="2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PARA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z w:val="13"/>
              </w:rPr>
              <w:t>A</w:t>
            </w:r>
            <w:r>
              <w:rPr>
                <w:rFonts w:ascii="Calibri" w:hAnsi="Calibri"/>
                <w:b/>
                <w:spacing w:val="1"/>
                <w:sz w:val="13"/>
              </w:rPr>
              <w:t> </w:t>
            </w:r>
            <w:r>
              <w:rPr>
                <w:rFonts w:ascii="Calibri" w:hAnsi="Calibri"/>
                <w:b/>
                <w:spacing w:val="-2"/>
                <w:sz w:val="13"/>
              </w:rPr>
              <w:t>EXECUÇÃO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6840" w:h="11910" w:orient="landscape"/>
      <w:pgMar w:top="1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Aluga.com</dc:creator>
  <dcterms:created xsi:type="dcterms:W3CDTF">2026-04-06T15:32:40Z</dcterms:created>
  <dcterms:modified xsi:type="dcterms:W3CDTF">2026-04-06T15:32:40Z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para Microsoft 365</vt:lpwstr>
  </property>
</Properties>
</file>